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9C3" w:rsidRPr="007D4418" w:rsidRDefault="000A006E" w:rsidP="007D4418">
      <w:pPr>
        <w:pStyle w:val="Default"/>
        <w:tabs>
          <w:tab w:val="left" w:pos="2565"/>
        </w:tabs>
        <w:rPr>
          <w:color w:val="211D1E"/>
          <w:szCs w:val="20"/>
        </w:rPr>
      </w:pPr>
      <w:r w:rsidRPr="007D4418">
        <w:rPr>
          <w:b/>
        </w:rPr>
        <w:t>Problem 1.</w:t>
      </w:r>
      <w:r w:rsidR="003E2726" w:rsidRPr="007D4418">
        <w:rPr>
          <w:b/>
        </w:rPr>
        <w:t>4</w:t>
      </w:r>
      <w:r w:rsidR="007D4418" w:rsidRPr="007D4418">
        <w:rPr>
          <w:b/>
        </w:rPr>
        <w:t>5</w:t>
      </w:r>
    </w:p>
    <w:p w:rsidR="003E2726" w:rsidRPr="007D4418" w:rsidRDefault="003E2726" w:rsidP="007D4418">
      <w:pPr>
        <w:pStyle w:val="Default"/>
      </w:pPr>
    </w:p>
    <w:p w:rsidR="007D4418" w:rsidRPr="007D4418" w:rsidRDefault="003E2726" w:rsidP="007D4418">
      <w:pPr>
        <w:pStyle w:val="Default"/>
        <w:tabs>
          <w:tab w:val="left" w:pos="2565"/>
        </w:tabs>
        <w:rPr>
          <w:color w:val="211D1E"/>
          <w:szCs w:val="20"/>
        </w:rPr>
      </w:pPr>
      <w:r w:rsidRPr="007D4418">
        <w:rPr>
          <w:color w:val="211D1E"/>
          <w:szCs w:val="20"/>
        </w:rPr>
        <w:t xml:space="preserve">What is the weighted average cost of capital for a corporation that finances an expansion project using 40% retained earnings and 60% venture capital? Assume the interest rates are 10% for equity financing and 16% for debt financing. </w:t>
      </w:r>
    </w:p>
    <w:p w:rsidR="007D4418" w:rsidRDefault="007D4418" w:rsidP="007D4418">
      <w:pPr>
        <w:pStyle w:val="Pa155"/>
        <w:spacing w:before="200" w:line="240" w:lineRule="auto"/>
        <w:rPr>
          <w:color w:val="211D1E"/>
          <w:szCs w:val="20"/>
        </w:rPr>
      </w:pPr>
      <w:r w:rsidRPr="007D4418">
        <w:rPr>
          <w:color w:val="211D1E"/>
          <w:szCs w:val="20"/>
        </w:rPr>
        <w:t>Managers from different departments in Bensen Systems, a large multinational corporation, have of</w:t>
      </w:r>
      <w:r w:rsidRPr="007D4418">
        <w:rPr>
          <w:color w:val="211D1E"/>
          <w:szCs w:val="20"/>
        </w:rPr>
        <w:softHyphen/>
        <w:t>fered seven projects for consideration by the corpo</w:t>
      </w:r>
      <w:r w:rsidRPr="007D4418">
        <w:rPr>
          <w:color w:val="211D1E"/>
          <w:szCs w:val="20"/>
        </w:rPr>
        <w:softHyphen/>
        <w:t>rate office. A staff member for the chief financial officer used key words to identify the projects and then listed them in order of projected rate of return as shown below. If the company wants to grow rap</w:t>
      </w:r>
      <w:r w:rsidRPr="007D4418">
        <w:rPr>
          <w:color w:val="211D1E"/>
          <w:szCs w:val="20"/>
        </w:rPr>
        <w:softHyphen/>
        <w:t>idly through high leverage and uses only 5% equity financing that has a cost of equity capital of 10% and 95% debt financing with a cost of debt capital of 19%, which projects should the company undertake?</w:t>
      </w:r>
    </w:p>
    <w:p w:rsidR="007D4418" w:rsidRPr="007D4418" w:rsidRDefault="007D4418" w:rsidP="007D4418">
      <w:pPr>
        <w:pStyle w:val="Default"/>
      </w:pPr>
    </w:p>
    <w:tbl>
      <w:tblPr>
        <w:tblW w:w="0" w:type="auto"/>
        <w:jc w:val="center"/>
        <w:tblBorders>
          <w:top w:val="nil"/>
          <w:left w:val="nil"/>
          <w:bottom w:val="nil"/>
          <w:right w:val="nil"/>
        </w:tblBorders>
        <w:tblLayout w:type="fixed"/>
        <w:tblLook w:val="0000"/>
      </w:tblPr>
      <w:tblGrid>
        <w:gridCol w:w="2010"/>
        <w:gridCol w:w="3773"/>
      </w:tblGrid>
      <w:tr w:rsidR="007D4418" w:rsidRPr="007D4418" w:rsidTr="00AD13D9">
        <w:trPr>
          <w:trHeight w:val="105"/>
          <w:jc w:val="center"/>
        </w:trPr>
        <w:tc>
          <w:tcPr>
            <w:tcW w:w="2010" w:type="dxa"/>
            <w:tcBorders>
              <w:bottom w:val="single" w:sz="4" w:space="0" w:color="auto"/>
            </w:tcBorders>
          </w:tcPr>
          <w:p w:rsidR="007D4418" w:rsidRPr="007D4418" w:rsidRDefault="007D4418" w:rsidP="007D4418">
            <w:pPr>
              <w:pStyle w:val="Pa17"/>
              <w:spacing w:after="60" w:line="240" w:lineRule="auto"/>
              <w:rPr>
                <w:color w:val="211D1E"/>
                <w:szCs w:val="18"/>
              </w:rPr>
            </w:pPr>
            <w:r w:rsidRPr="007D4418">
              <w:rPr>
                <w:b/>
                <w:bCs/>
                <w:color w:val="211D1E"/>
                <w:szCs w:val="18"/>
              </w:rPr>
              <w:t>Project ID</w:t>
            </w:r>
          </w:p>
        </w:tc>
        <w:tc>
          <w:tcPr>
            <w:tcW w:w="3773" w:type="dxa"/>
            <w:tcBorders>
              <w:bottom w:val="single" w:sz="4" w:space="0" w:color="auto"/>
            </w:tcBorders>
          </w:tcPr>
          <w:p w:rsidR="007D4418" w:rsidRPr="007D4418" w:rsidRDefault="00AD13D9" w:rsidP="007D4418">
            <w:pPr>
              <w:pStyle w:val="Pa16"/>
              <w:spacing w:after="60" w:line="240" w:lineRule="auto"/>
              <w:rPr>
                <w:color w:val="211D1E"/>
                <w:szCs w:val="18"/>
              </w:rPr>
            </w:pPr>
            <w:r>
              <w:rPr>
                <w:b/>
                <w:bCs/>
                <w:color w:val="211D1E"/>
                <w:szCs w:val="18"/>
              </w:rPr>
              <w:t xml:space="preserve">            </w:t>
            </w:r>
            <w:r w:rsidR="007D4418" w:rsidRPr="007D4418">
              <w:rPr>
                <w:b/>
                <w:bCs/>
                <w:color w:val="211D1E"/>
                <w:szCs w:val="18"/>
              </w:rPr>
              <w:t>Projected ROR, % per year</w:t>
            </w:r>
          </w:p>
        </w:tc>
      </w:tr>
      <w:tr w:rsidR="007D4418" w:rsidRPr="007D4418" w:rsidTr="00AD13D9">
        <w:trPr>
          <w:trHeight w:val="135"/>
          <w:jc w:val="center"/>
        </w:trPr>
        <w:tc>
          <w:tcPr>
            <w:tcW w:w="2010" w:type="dxa"/>
            <w:tcBorders>
              <w:top w:val="single" w:sz="4" w:space="0" w:color="auto"/>
            </w:tcBorders>
          </w:tcPr>
          <w:p w:rsidR="007D4418" w:rsidRPr="007D4418" w:rsidRDefault="007D4418" w:rsidP="007D4418">
            <w:pPr>
              <w:pStyle w:val="Pa170"/>
              <w:spacing w:before="40" w:line="240" w:lineRule="auto"/>
              <w:rPr>
                <w:color w:val="211D1E"/>
                <w:szCs w:val="18"/>
              </w:rPr>
            </w:pPr>
            <w:r w:rsidRPr="007D4418">
              <w:rPr>
                <w:color w:val="211D1E"/>
                <w:szCs w:val="18"/>
              </w:rPr>
              <w:t>Inventory</w:t>
            </w:r>
          </w:p>
        </w:tc>
        <w:tc>
          <w:tcPr>
            <w:tcW w:w="3773" w:type="dxa"/>
            <w:tcBorders>
              <w:top w:val="single" w:sz="4" w:space="0" w:color="auto"/>
            </w:tcBorders>
          </w:tcPr>
          <w:p w:rsidR="007D4418" w:rsidRPr="007D4418" w:rsidRDefault="007D4418" w:rsidP="00AD13D9">
            <w:pPr>
              <w:pStyle w:val="Pa106"/>
              <w:spacing w:before="40" w:line="240" w:lineRule="auto"/>
              <w:jc w:val="right"/>
              <w:rPr>
                <w:color w:val="211D1E"/>
                <w:szCs w:val="18"/>
              </w:rPr>
            </w:pPr>
            <w:r w:rsidRPr="007D4418">
              <w:rPr>
                <w:color w:val="211D1E"/>
                <w:szCs w:val="18"/>
              </w:rPr>
              <w:t>30.0</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Technology</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28.4</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Warehouse</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21.9</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Maintenance</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19.5</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Products</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 xml:space="preserve">13.1 </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 xml:space="preserve">Energy </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9.6</w:t>
            </w:r>
          </w:p>
        </w:tc>
      </w:tr>
      <w:tr w:rsidR="007D4418" w:rsidRPr="007D4418" w:rsidTr="007D4418">
        <w:trPr>
          <w:trHeight w:val="135"/>
          <w:jc w:val="center"/>
        </w:trPr>
        <w:tc>
          <w:tcPr>
            <w:tcW w:w="2010" w:type="dxa"/>
          </w:tcPr>
          <w:p w:rsidR="007D4418" w:rsidRPr="007D4418" w:rsidRDefault="007D4418" w:rsidP="007D4418">
            <w:pPr>
              <w:pStyle w:val="Pa170"/>
              <w:spacing w:before="40" w:line="240" w:lineRule="auto"/>
              <w:rPr>
                <w:color w:val="211D1E"/>
                <w:szCs w:val="18"/>
              </w:rPr>
            </w:pPr>
            <w:r w:rsidRPr="007D4418">
              <w:rPr>
                <w:color w:val="211D1E"/>
                <w:szCs w:val="18"/>
              </w:rPr>
              <w:t xml:space="preserve">Shipping </w:t>
            </w:r>
          </w:p>
        </w:tc>
        <w:tc>
          <w:tcPr>
            <w:tcW w:w="3773" w:type="dxa"/>
          </w:tcPr>
          <w:p w:rsidR="007D4418" w:rsidRPr="007D4418" w:rsidRDefault="007D4418" w:rsidP="00AD13D9">
            <w:pPr>
              <w:pStyle w:val="Pa106"/>
              <w:spacing w:before="40" w:line="240" w:lineRule="auto"/>
              <w:jc w:val="right"/>
              <w:rPr>
                <w:color w:val="211D1E"/>
                <w:szCs w:val="18"/>
              </w:rPr>
            </w:pPr>
            <w:r w:rsidRPr="007D4418">
              <w:rPr>
                <w:color w:val="211D1E"/>
                <w:szCs w:val="18"/>
              </w:rPr>
              <w:t>8.2</w:t>
            </w:r>
          </w:p>
        </w:tc>
      </w:tr>
    </w:tbl>
    <w:p w:rsidR="007D4418" w:rsidRPr="007D4418" w:rsidRDefault="007D4418" w:rsidP="007D4418">
      <w:pPr>
        <w:pStyle w:val="Default"/>
        <w:tabs>
          <w:tab w:val="left" w:pos="2565"/>
        </w:tabs>
        <w:rPr>
          <w:color w:val="211D1E"/>
          <w:szCs w:val="20"/>
        </w:rPr>
      </w:pPr>
    </w:p>
    <w:sectPr w:rsidR="007D4418" w:rsidRPr="007D4418"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1E62"/>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418"/>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D13D9"/>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2016-12-12T20:22:00Z</dcterms:created>
  <dcterms:modified xsi:type="dcterms:W3CDTF">2016-12-26T22:11:00Z</dcterms:modified>
</cp:coreProperties>
</file>